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6B" w:rsidRDefault="00941B6B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941B6B" w:rsidRDefault="00BE0D53">
      <w:pPr>
        <w:keepLines/>
        <w:jc w:val="center"/>
        <w:rPr>
          <w:rFonts w:ascii="Century Gothic" w:eastAsia="Century Gothic" w:hAnsi="Century Gothic" w:cs="Century Gothic"/>
          <w:b/>
          <w:sz w:val="94"/>
          <w:szCs w:val="94"/>
        </w:rPr>
      </w:pPr>
      <w:r>
        <w:rPr>
          <w:rFonts w:ascii="Century Gothic" w:eastAsia="Century Gothic" w:hAnsi="Century Gothic" w:cs="Century Gothic"/>
          <w:b/>
          <w:noProof/>
          <w:sz w:val="94"/>
          <w:szCs w:val="94"/>
        </w:rPr>
        <w:drawing>
          <wp:inline distT="114300" distB="114300" distL="114300" distR="114300">
            <wp:extent cx="5464685" cy="2979738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4685" cy="297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1B6B" w:rsidRDefault="00BE0D53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un film di</w:t>
      </w:r>
    </w:p>
    <w:p w:rsidR="00941B6B" w:rsidRDefault="00BE0D53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 xml:space="preserve">Lee </w:t>
      </w:r>
      <w:proofErr w:type="spellStart"/>
      <w:r>
        <w:rPr>
          <w:rFonts w:ascii="Century Gothic" w:eastAsia="Century Gothic" w:hAnsi="Century Gothic" w:cs="Century Gothic"/>
          <w:b/>
          <w:sz w:val="40"/>
          <w:szCs w:val="40"/>
        </w:rPr>
        <w:t>Daniels</w:t>
      </w:r>
      <w:proofErr w:type="spellEnd"/>
    </w:p>
    <w:p w:rsidR="00941B6B" w:rsidRDefault="00941B6B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</w:p>
    <w:p w:rsidR="00941B6B" w:rsidRDefault="00BE0D53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con</w:t>
      </w:r>
    </w:p>
    <w:p w:rsidR="00941B6B" w:rsidRDefault="00BE0D53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 xml:space="preserve">la vincitrice del Golden Globe Andra </w:t>
      </w:r>
      <w:proofErr w:type="spellStart"/>
      <w:r>
        <w:rPr>
          <w:rFonts w:ascii="Century Gothic" w:eastAsia="Century Gothic" w:hAnsi="Century Gothic" w:cs="Century Gothic"/>
          <w:b/>
          <w:sz w:val="40"/>
          <w:szCs w:val="40"/>
        </w:rPr>
        <w:t>Day</w:t>
      </w:r>
      <w:proofErr w:type="spellEnd"/>
    </w:p>
    <w:p w:rsidR="00941B6B" w:rsidRDefault="00BE0D53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b/>
          <w:sz w:val="40"/>
          <w:szCs w:val="40"/>
        </w:rPr>
        <w:t>Trevante</w:t>
      </w:r>
      <w:proofErr w:type="spellEnd"/>
      <w:r>
        <w:rPr>
          <w:rFonts w:ascii="Century Gothic" w:eastAsia="Century Gothic" w:hAnsi="Century Gothic" w:cs="Century Gothic"/>
          <w:b/>
          <w:sz w:val="40"/>
          <w:szCs w:val="4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40"/>
          <w:szCs w:val="40"/>
        </w:rPr>
        <w:t>Rhodes</w:t>
      </w:r>
      <w:proofErr w:type="spellEnd"/>
    </w:p>
    <w:p w:rsidR="00941B6B" w:rsidRDefault="00941B6B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</w:p>
    <w:p w:rsidR="00941B6B" w:rsidRDefault="00BE0D53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color w:val="000000"/>
          <w:sz w:val="40"/>
          <w:szCs w:val="40"/>
        </w:rPr>
        <w:t xml:space="preserve">scritto dal </w:t>
      </w: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 xml:space="preserve">Premio Pulitzer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Suzan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-Lori Park</w:t>
      </w:r>
    </w:p>
    <w:p w:rsidR="00941B6B" w:rsidRDefault="00941B6B">
      <w:pPr>
        <w:rPr>
          <w:rFonts w:ascii="Century Gothic" w:eastAsia="Century Gothic" w:hAnsi="Century Gothic" w:cs="Century Gothic"/>
        </w:rPr>
      </w:pPr>
    </w:p>
    <w:p w:rsidR="00941B6B" w:rsidRDefault="00941B6B">
      <w:pPr>
        <w:jc w:val="center"/>
        <w:rPr>
          <w:rFonts w:ascii="Century Gothic" w:eastAsia="Century Gothic" w:hAnsi="Century Gothic" w:cs="Century Gothic"/>
        </w:rPr>
      </w:pPr>
    </w:p>
    <w:p w:rsidR="00941B6B" w:rsidRDefault="00BE0D53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inline distT="0" distB="0" distL="0" distR="0">
            <wp:extent cx="1676400" cy="9144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1B6B" w:rsidRDefault="00BE0D53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durata: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sz w:val="36"/>
          <w:szCs w:val="36"/>
        </w:rPr>
        <w:t>130 minuti</w:t>
      </w:r>
    </w:p>
    <w:p w:rsidR="00941B6B" w:rsidRDefault="007274FC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DAL</w:t>
      </w:r>
      <w:r w:rsidR="00BE0D53">
        <w:rPr>
          <w:rFonts w:ascii="Century Gothic" w:eastAsia="Century Gothic" w:hAnsi="Century Gothic" w:cs="Century Gothic"/>
          <w:b/>
          <w:sz w:val="36"/>
          <w:szCs w:val="36"/>
        </w:rPr>
        <w:t xml:space="preserve"> 5 MAGGIO </w:t>
      </w:r>
      <w:r>
        <w:rPr>
          <w:rFonts w:ascii="Century Gothic" w:eastAsia="Century Gothic" w:hAnsi="Century Gothic" w:cs="Century Gothic"/>
          <w:b/>
          <w:sz w:val="36"/>
          <w:szCs w:val="36"/>
        </w:rPr>
        <w:t>AL CINEMA</w:t>
      </w:r>
      <w:bookmarkStart w:id="0" w:name="_GoBack"/>
      <w:bookmarkEnd w:id="0"/>
    </w:p>
    <w:p w:rsidR="00941B6B" w:rsidRDefault="00941B6B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</w:p>
    <w:p w:rsidR="00941B6B" w:rsidRDefault="00BE0D53">
      <w:pPr>
        <w:tabs>
          <w:tab w:val="left" w:pos="284"/>
        </w:tabs>
        <w:ind w:right="-472"/>
        <w:jc w:val="center"/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I materiali stampa sono scaricabili da </w:t>
      </w:r>
      <w:hyperlink r:id="rId9">
        <w:r>
          <w:rPr>
            <w:rFonts w:ascii="Century Gothic" w:eastAsia="Century Gothic" w:hAnsi="Century Gothic" w:cs="Century Gothic"/>
            <w:color w:val="1155CC"/>
            <w:sz w:val="18"/>
            <w:szCs w:val="18"/>
            <w:u w:val="single"/>
          </w:rPr>
          <w:t>www.giampaglialocurcio.it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e dall’area press di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  <w:hyperlink r:id="rId10">
        <w:r>
          <w:rPr>
            <w:rFonts w:ascii="Century Gothic" w:eastAsia="Century Gothic" w:hAnsi="Century Gothic" w:cs="Century Gothic"/>
            <w:color w:val="0563C1"/>
            <w:sz w:val="18"/>
            <w:szCs w:val="18"/>
            <w:u w:val="single"/>
          </w:rPr>
          <w:t>www.bimfilm.com</w:t>
        </w:r>
      </w:hyperlink>
    </w:p>
    <w:p w:rsidR="00941B6B" w:rsidRDefault="00941B6B">
      <w:pPr>
        <w:tabs>
          <w:tab w:val="left" w:pos="284"/>
        </w:tabs>
        <w:ind w:right="-472"/>
        <w:jc w:val="center"/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</w:pPr>
    </w:p>
    <w:p w:rsidR="00941B6B" w:rsidRDefault="00941B6B">
      <w:pPr>
        <w:tabs>
          <w:tab w:val="left" w:pos="284"/>
        </w:tabs>
        <w:ind w:right="-472"/>
        <w:jc w:val="center"/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</w:pPr>
    </w:p>
    <w:p w:rsidR="00941B6B" w:rsidRDefault="00941B6B">
      <w:pPr>
        <w:tabs>
          <w:tab w:val="left" w:pos="284"/>
        </w:tabs>
        <w:ind w:right="-472"/>
        <w:jc w:val="center"/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</w:pPr>
    </w:p>
    <w:tbl>
      <w:tblPr>
        <w:tblStyle w:val="a2"/>
        <w:tblW w:w="95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510"/>
      </w:tblGrid>
      <w:tr w:rsidR="00941B6B">
        <w:trPr>
          <w:trHeight w:val="1128"/>
        </w:trPr>
        <w:tc>
          <w:tcPr>
            <w:tcW w:w="9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6B" w:rsidRDefault="00BE0D53">
            <w:pPr>
              <w:rPr>
                <w:rFonts w:ascii="Century Gothic" w:eastAsia="Century Gothic" w:hAnsi="Century Gothic" w:cs="Century Gothic"/>
                <w:color w:val="222222"/>
                <w:sz w:val="16"/>
                <w:szCs w:val="16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16"/>
                <w:szCs w:val="16"/>
                <w:highlight w:val="white"/>
                <w:u w:val="single"/>
              </w:rPr>
              <w:t>Ufficio stampa fil</w:t>
            </w:r>
            <w:r>
              <w:rPr>
                <w:rFonts w:ascii="Century Gothic" w:eastAsia="Century Gothic" w:hAnsi="Century Gothic" w:cs="Century Gothic"/>
                <w:color w:val="222222"/>
                <w:sz w:val="16"/>
                <w:szCs w:val="16"/>
                <w:highlight w:val="white"/>
                <w:u w:val="single"/>
              </w:rPr>
              <w:t>m</w:t>
            </w:r>
          </w:p>
          <w:p w:rsidR="00941B6B" w:rsidRDefault="00BE0D53">
            <w:pPr>
              <w:rPr>
                <w:rFonts w:ascii="Century Gothic" w:eastAsia="Century Gothic" w:hAnsi="Century Gothic" w:cs="Century Gothic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16"/>
                <w:szCs w:val="16"/>
                <w:highlight w:val="white"/>
              </w:rPr>
              <w:t xml:space="preserve">Maria Rosaria Giampaglia e Mario </w:t>
            </w:r>
            <w:proofErr w:type="spellStart"/>
            <w:r>
              <w:rPr>
                <w:rFonts w:ascii="Century Gothic" w:eastAsia="Century Gothic" w:hAnsi="Century Gothic" w:cs="Century Gothic"/>
                <w:color w:val="222222"/>
                <w:sz w:val="16"/>
                <w:szCs w:val="16"/>
                <w:highlight w:val="white"/>
              </w:rPr>
              <w:t>Locurcio</w:t>
            </w:r>
            <w:proofErr w:type="spellEnd"/>
          </w:p>
          <w:p w:rsidR="00941B6B" w:rsidRDefault="00BE0D53">
            <w:pPr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highlight w:val="white"/>
              </w:rPr>
              <w:t>scrivi@emmeperdue.com</w:t>
            </w:r>
          </w:p>
          <w:p w:rsidR="00941B6B" w:rsidRDefault="00BE0D53">
            <w:pPr>
              <w:rPr>
                <w:rFonts w:ascii="Century Gothic" w:eastAsia="Century Gothic" w:hAnsi="Century Gothic" w:cs="Century Gothic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16"/>
                <w:szCs w:val="16"/>
                <w:highlight w:val="white"/>
              </w:rPr>
              <w:t>Maria Rosaria: +39 3498696141, Mario: +39 3358383364</w:t>
            </w:r>
          </w:p>
        </w:tc>
      </w:tr>
    </w:tbl>
    <w:p w:rsidR="00941B6B" w:rsidRDefault="00941B6B">
      <w:pPr>
        <w:jc w:val="both"/>
        <w:rPr>
          <w:rFonts w:ascii="Century Gothic" w:eastAsia="Century Gothic" w:hAnsi="Century Gothic" w:cs="Century Gothic"/>
          <w:b/>
          <w:sz w:val="36"/>
          <w:szCs w:val="36"/>
        </w:rPr>
      </w:pPr>
    </w:p>
    <w:p w:rsidR="00941B6B" w:rsidRDefault="00941B6B">
      <w:pPr>
        <w:jc w:val="both"/>
        <w:rPr>
          <w:rFonts w:ascii="Century Gothic" w:eastAsia="Century Gothic" w:hAnsi="Century Gothic" w:cs="Century Gothic"/>
          <w:b/>
          <w:sz w:val="36"/>
          <w:szCs w:val="36"/>
        </w:rPr>
      </w:pPr>
    </w:p>
    <w:p w:rsidR="00941B6B" w:rsidRDefault="00BE0D53">
      <w:pPr>
        <w:ind w:left="-567"/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SINOSSI</w:t>
      </w:r>
    </w:p>
    <w:p w:rsidR="00941B6B" w:rsidRDefault="00941B6B">
      <w:pPr>
        <w:ind w:left="-567"/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941B6B" w:rsidRDefault="00BE0D53">
      <w:pPr>
        <w:ind w:left="-567"/>
        <w:jc w:val="both"/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 xml:space="preserve">Andra </w:t>
      </w:r>
      <w:proofErr w:type="spellStart"/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>Day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, la candidata ai </w:t>
      </w:r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>GRAMMY Awards</w:t>
      </w:r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, è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Billie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Holiday nel film del regista </w:t>
      </w:r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 xml:space="preserve">Lee </w:t>
      </w:r>
      <w:proofErr w:type="spellStart"/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>Daniels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Gli Stati Uniti contro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Billie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Holiday, scritto dal </w:t>
      </w:r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 xml:space="preserve">Premio Pulitzer </w:t>
      </w:r>
      <w:proofErr w:type="spellStart"/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>Suzan</w:t>
      </w:r>
      <w:proofErr w:type="spellEnd"/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 xml:space="preserve">-Lori </w:t>
      </w:r>
      <w:proofErr w:type="spellStart"/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>Parks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. Grazie alla sua interpretazione di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Billie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Holiday, Andra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Day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si è aggiudicata il </w:t>
      </w:r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>Golden Globe come Migliore Attrice Protagonista in un film drammatico.</w:t>
      </w:r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Al suo fianco, l’a</w:t>
      </w:r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ttore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Trevante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Rhodes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Moonlight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).</w:t>
      </w:r>
    </w:p>
    <w:p w:rsidR="00941B6B" w:rsidRDefault="00BE0D53">
      <w:pPr>
        <w:ind w:left="-567"/>
        <w:jc w:val="both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Negli anni Quaranta l’icona della musica jazz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Billie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Holiday collezionava successi in tutto il mondo, mentre il governo federale statunitense decideva di trasformare la Holiday nel capro espiatorio di una dura battaglia c</w:t>
      </w: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ontro la droga prendendo di mira la sua fragile e complicata vita. Il fine ultimo delle azioni intraprese contro la cantante era impedirle di eseguire la sua ballata “Strange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fruit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”, </w:t>
      </w:r>
      <w:r>
        <w:rPr>
          <w:rFonts w:ascii="Century Gothic" w:eastAsia="Century Gothic" w:hAnsi="Century Gothic" w:cs="Century Gothic"/>
          <w:b/>
          <w:color w:val="222222"/>
          <w:sz w:val="24"/>
          <w:szCs w:val="24"/>
        </w:rPr>
        <w:t>canzone</w:t>
      </w: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di denuncia contro i linciaggi del governo degli U.S.A. e contrib</w:t>
      </w: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uto essenziale per il movimento per i diritti civili. </w:t>
      </w:r>
    </w:p>
    <w:p w:rsidR="00941B6B" w:rsidRDefault="00941B6B">
      <w:pPr>
        <w:ind w:left="-567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41B6B" w:rsidRDefault="00941B6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41B6B" w:rsidRDefault="00BE0D53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br w:type="page"/>
      </w:r>
    </w:p>
    <w:p w:rsidR="00941B6B" w:rsidRDefault="00BE0D53">
      <w:pPr>
        <w:rPr>
          <w:rFonts w:ascii="Century Gothic" w:eastAsia="Century Gothic" w:hAnsi="Century Gothic" w:cs="Century Gothic"/>
          <w:b/>
          <w:smallCaps/>
          <w:sz w:val="28"/>
          <w:szCs w:val="28"/>
        </w:rPr>
      </w:pP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lastRenderedPageBreak/>
        <w:t>BILLIE HOLIDAY</w:t>
      </w:r>
    </w:p>
    <w:p w:rsidR="00941B6B" w:rsidRDefault="00BE0D53">
      <w:pPr>
        <w:rPr>
          <w:rFonts w:ascii="Century Gothic" w:eastAsia="Century Gothic" w:hAnsi="Century Gothic" w:cs="Century Gothic"/>
          <w:b/>
          <w:smallCaps/>
          <w:sz w:val="28"/>
          <w:szCs w:val="28"/>
        </w:rPr>
      </w:pP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>LA VOCE DELL’ANIMA</w:t>
      </w:r>
    </w:p>
    <w:p w:rsidR="00941B6B" w:rsidRDefault="00941B6B">
      <w:pPr>
        <w:rPr>
          <w:rFonts w:ascii="Century Gothic" w:eastAsia="Century Gothic" w:hAnsi="Century Gothic" w:cs="Century Gothic"/>
          <w:sz w:val="24"/>
          <w:szCs w:val="24"/>
        </w:rPr>
      </w:pPr>
    </w:p>
    <w:p w:rsidR="00941B6B" w:rsidRDefault="00BE0D5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Molte cantanti sono state definite la nuova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Billie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 La verità è che non ci sarà mai nessuna come lei perché nessuno potrà essere colpito così duramente dalla vita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come lo è stata lei.  Che quasi per ricompensarla le donò quella voce che a distanza di così tanti anni ancora è in grado di emozionare come nessun’altra. Perché non era la sua voce a cantare, ma la sua anima.</w:t>
      </w:r>
    </w:p>
    <w:p w:rsidR="00941B6B" w:rsidRDefault="00BE0D5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Cosa ci rimane oggi di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Billie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Holiday, nata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Eleonor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Fagan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, soprannominata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Billie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in omaggio all’attrice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Billie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Dove? Risposta scontata. Moltissimo. Intanto la sua stessa esistenza e la sua arte, miglior omaggio alla sua memoria che lei stessa ci ha lasciat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o con la forza della sua fragilità. La vita e la musica si fondono in un immenso dramma gigantesco, sconvolgente, autentico: il suo. </w:t>
      </w:r>
      <w:r>
        <w:rPr>
          <w:rFonts w:ascii="Century Gothic" w:eastAsia="Century Gothic" w:hAnsi="Century Gothic" w:cs="Century Gothic"/>
          <w:sz w:val="24"/>
          <w:szCs w:val="24"/>
        </w:rPr>
        <w:t>Analizzare quindi tutta la sua produzione musicale richiederebbe fiumi di inchiostro: una canzone su tutte però va racconta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ta perché ha avuto un enorme impatto musicale e culturale e perché è una metafora della sua stessa vita: 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Strange 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Fruit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941B6B" w:rsidRDefault="00BE0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New York, 1939: Il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Cafè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Society, al Greenwich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Village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era uno dei pochi locali in cui I neri potevano sedere al fianco dei bianchi, grazie al proprietario convinto sostenitore dell’integrazione. In quel locale, si esibiva una giovane cantante di colore, 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alla voce profonda e inquieta, dal passato difficile e dal carattere fiero. Sensuale e sfrontata in pubblico, fragile e indifesa nella vita privata: stuprata da bambina, in cella per rissa, ex prostituta, tossicodipendente e tremendamente libera. Questa er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 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Billie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Holiday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941B6B" w:rsidRDefault="00BE0D53">
      <w:pP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Una sera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Billie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decise di cantare una canzone di Abel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Meeropol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poeta, scrittore, compositore ebreo-russo, scritta per protesta contro il linciaggio di due lavoratori di colore di una piantagione.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“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Non c’era nemmeno un leggero applauso ne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ll’aria all’inizio- 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scrive nella sua biografia la cantante– 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poi solo una persona ha iniziato a battere nervosamente le mani e così tutti gli altri l’hanno seguito”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 Non era più intrattenimento, ma una protesta. Il brano divenne la conclusione di tutti i co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ncerti e alla fine lei lasciava il palco. Non c’era bisogno di aggiungere altro. </w:t>
      </w:r>
    </w:p>
    <w:p w:rsidR="00941B6B" w:rsidRDefault="00BE0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Strange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Fruit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considerata da Time il monumento musicale del secolo scorso, hanno fatto seguito capolavori come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Lover Man,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ballata malinconica dal testo che sembrava scritto per lei,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God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bless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 the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child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che parla dell’ipocrisia di un mondo in cui i musicisti neri vengono trattati come grandi artisti, ma devono entrare sempre dalla porta di servizio come i domestici, 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The man I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love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 il brano per antonomasia della grande Lady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Day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cantato dai più grandi, la commovente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I’ll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be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seeing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you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I’m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fool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to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want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you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il suo brano di addio.</w:t>
      </w:r>
    </w:p>
    <w:p w:rsidR="00941B6B" w:rsidRDefault="00BE0D5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Semplicemente è stata, e rimane, una delle più belle e influenti interpreti vocali del Novecento.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Punto.</w:t>
      </w:r>
    </w:p>
    <w:p w:rsidR="00941B6B" w:rsidRDefault="00BE0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Nel 1959 dopo la sua ultima incisione, subisce un attacco di epatite e viene ricoverata in ospedale a New York, dove muore il 17 luglio, all’età di 44 anni.</w:t>
      </w:r>
    </w:p>
    <w:p w:rsidR="00941B6B" w:rsidRDefault="00BE0D53">
      <w:pP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Era la fine della sua travagliata esistenza e l’inizio del mito.</w:t>
      </w:r>
    </w:p>
    <w:p w:rsidR="00941B6B" w:rsidRDefault="00941B6B">
      <w:pPr>
        <w:jc w:val="both"/>
        <w:rPr>
          <w:rFonts w:ascii="Century Gothic" w:eastAsia="Century Gothic" w:hAnsi="Century Gothic" w:cs="Century Gothic"/>
        </w:rPr>
      </w:pPr>
    </w:p>
    <w:p w:rsidR="00941B6B" w:rsidRDefault="00BE0D53">
      <w:pPr>
        <w:spacing w:after="200" w:line="276" w:lineRule="auto"/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  <w:r>
        <w:br w:type="page"/>
      </w: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BIOGRAFIE</w:t>
      </w:r>
    </w:p>
    <w:p w:rsidR="00941B6B" w:rsidRDefault="00BE0D53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ANDRA DAY (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Billie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Holiday)</w:t>
      </w:r>
    </w:p>
    <w:p w:rsidR="00941B6B" w:rsidRDefault="00BE0D53">
      <w:pPr>
        <w:shd w:val="clear" w:color="auto" w:fill="FFFFFF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Andra </w:t>
      </w:r>
      <w:proofErr w:type="spellStart"/>
      <w:r>
        <w:rPr>
          <w:rFonts w:ascii="Century Gothic" w:eastAsia="Century Gothic" w:hAnsi="Century Gothic" w:cs="Century Gothic"/>
          <w:color w:val="202124"/>
          <w:sz w:val="24"/>
          <w:szCs w:val="24"/>
        </w:rPr>
        <w:t>Day</w:t>
      </w:r>
      <w:proofErr w:type="spellEnd"/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 è una cantante, nominata ai GRAMMY Award®. Ha esordito con l’album </w:t>
      </w:r>
      <w:proofErr w:type="spellStart"/>
      <w:r>
        <w:rPr>
          <w:rFonts w:ascii="Century Gothic" w:eastAsia="Century Gothic" w:hAnsi="Century Gothic" w:cs="Century Gothic"/>
          <w:i/>
          <w:color w:val="202124"/>
          <w:sz w:val="24"/>
          <w:szCs w:val="24"/>
        </w:rPr>
        <w:t>Cheers</w:t>
      </w:r>
      <w:proofErr w:type="spellEnd"/>
      <w:r>
        <w:rPr>
          <w:rFonts w:ascii="Century Gothic" w:eastAsia="Century Gothic" w:hAnsi="Century Gothic" w:cs="Century Gothic"/>
          <w:i/>
          <w:color w:val="202124"/>
          <w:sz w:val="24"/>
          <w:szCs w:val="24"/>
        </w:rPr>
        <w:t xml:space="preserve"> to the Fall </w:t>
      </w:r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(2015), si è esibita dal vivo con la sua canzone </w:t>
      </w:r>
      <w:r>
        <w:rPr>
          <w:rFonts w:ascii="Century Gothic" w:eastAsia="Century Gothic" w:hAnsi="Century Gothic" w:cs="Century Gothic"/>
          <w:i/>
          <w:color w:val="202124"/>
          <w:sz w:val="24"/>
          <w:szCs w:val="24"/>
        </w:rPr>
        <w:t>Rise Up</w:t>
      </w:r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 alla Casa Bianca per il presidente Obama e ha ottenuto il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Golden Globe come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Migliore Attrice Protagonista in un film drammatico per la sua interpretazione in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Gli Stati Uniti contro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Billie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 Holiday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941B6B" w:rsidRDefault="00941B6B">
      <w:pPr>
        <w:shd w:val="clear" w:color="auto" w:fill="FFFFFF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941B6B" w:rsidRDefault="00BE0D53">
      <w:pPr>
        <w:shd w:val="clear" w:color="auto" w:fill="FFFFFF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TREVANTE RHODES (Jimmy Fletcher)</w:t>
      </w:r>
    </w:p>
    <w:p w:rsidR="00941B6B" w:rsidRDefault="00BE0D53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Trevante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Rhodes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ha recitato al fianco di Sandra Bullock in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Bird</w:t>
      </w:r>
      <w:proofErr w:type="spellEnd"/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Box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diretto da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Susanne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Bier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che ha stabilito il record di streaming di una settimana di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Netflix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con oltre 45 milioni di spettatori. Il ruolo di protagonista di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Rhodes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è arrivato nel film acclamato dalla critica di Barry Jenkins 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Moonlight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che ha vinto sia i</w:t>
      </w:r>
      <w:r>
        <w:rPr>
          <w:rFonts w:ascii="Century Gothic" w:eastAsia="Century Gothic" w:hAnsi="Century Gothic" w:cs="Century Gothic"/>
          <w:sz w:val="24"/>
          <w:szCs w:val="24"/>
        </w:rPr>
        <w:t>l Golden Globe® che il Premio Oscar® per il miglior film. Tra gli altri film che ha interpretato: The Predator e 12 Soldiers.</w:t>
      </w:r>
    </w:p>
    <w:p w:rsidR="00941B6B" w:rsidRDefault="00941B6B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941B6B" w:rsidRDefault="00BE0D53">
      <w:pPr>
        <w:shd w:val="clear" w:color="auto" w:fill="FFFFFF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LEE DANIELS (regista)</w:t>
      </w:r>
    </w:p>
    <w:p w:rsidR="00941B6B" w:rsidRDefault="00BE0D53">
      <w:pPr>
        <w:shd w:val="clear" w:color="auto" w:fill="FFFFFF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Lee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Daniels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è un attore, produttore e regista cinematografico.</w:t>
      </w:r>
    </w:p>
    <w:p w:rsidR="00941B6B" w:rsidRDefault="00BE0D53">
      <w:pPr>
        <w:shd w:val="clear" w:color="auto" w:fill="FFFFFF"/>
        <w:jc w:val="both"/>
        <w:rPr>
          <w:rFonts w:ascii="Century Gothic" w:eastAsia="Century Gothic" w:hAnsi="Century Gothic" w:cs="Century Gothic"/>
          <w:color w:val="202124"/>
          <w:sz w:val="24"/>
          <w:szCs w:val="24"/>
        </w:rPr>
      </w:pPr>
      <w:bookmarkStart w:id="1" w:name="_heading=h.tyjcwt" w:colFirst="0" w:colLast="0"/>
      <w:bookmarkEnd w:id="1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Tra i suoi film come regista, interprete, sceneggiatore, ricordiamo: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Gli Stati Uniti contro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Billie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 Holiday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(2021),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The Butler - Un maggiordomo alla Casa Bianca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(2013),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The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Paperboy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(2012),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Precious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(2009),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Shadowboxer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(2005),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Agnese ed i suoi fratelli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(2004).</w:t>
      </w:r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 </w:t>
      </w:r>
    </w:p>
    <w:p w:rsidR="00941B6B" w:rsidRDefault="00941B6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941B6B">
      <w:headerReference w:type="default" r:id="rId11"/>
      <w:footerReference w:type="default" r:id="rId12"/>
      <w:pgSz w:w="11906" w:h="16838"/>
      <w:pgMar w:top="85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53" w:rsidRDefault="00BE0D53">
      <w:r>
        <w:separator/>
      </w:r>
    </w:p>
  </w:endnote>
  <w:endnote w:type="continuationSeparator" w:id="0">
    <w:p w:rsidR="00BE0D53" w:rsidRDefault="00BE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6B" w:rsidRDefault="00BE0D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color w:val="000000"/>
        <w:sz w:val="20"/>
        <w:szCs w:val="20"/>
      </w:rPr>
      <w:instrText>PAGE</w:instrText>
    </w:r>
    <w:r w:rsidR="007274FC">
      <w:rPr>
        <w:rFonts w:ascii="Century Gothic" w:eastAsia="Century Gothic" w:hAnsi="Century Gothic" w:cs="Century Gothic"/>
        <w:color w:val="000000"/>
        <w:sz w:val="20"/>
        <w:szCs w:val="20"/>
      </w:rPr>
      <w:fldChar w:fldCharType="separate"/>
    </w:r>
    <w:r w:rsidR="007274FC">
      <w:rPr>
        <w:rFonts w:ascii="Century Gothic" w:eastAsia="Century Gothic" w:hAnsi="Century Gothic" w:cs="Century Gothic"/>
        <w:noProof/>
        <w:color w:val="000000"/>
        <w:sz w:val="20"/>
        <w:szCs w:val="20"/>
      </w:rPr>
      <w:t>4</w:t>
    </w: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end"/>
    </w:r>
  </w:p>
  <w:p w:rsidR="00941B6B" w:rsidRDefault="00941B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53" w:rsidRDefault="00BE0D53">
      <w:r>
        <w:separator/>
      </w:r>
    </w:p>
  </w:footnote>
  <w:footnote w:type="continuationSeparator" w:id="0">
    <w:p w:rsidR="00BE0D53" w:rsidRDefault="00BE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6B" w:rsidRDefault="00941B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B"/>
    <w:rsid w:val="007274FC"/>
    <w:rsid w:val="00941B6B"/>
    <w:rsid w:val="00B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B533"/>
  <w15:docId w15:val="{24544BE1-C876-4E38-AD3A-4E363F07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15C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D015C"/>
    <w:rPr>
      <w:color w:val="0000FF" w:themeColor="hyperlink"/>
      <w:u w:val="single"/>
    </w:rPr>
  </w:style>
  <w:style w:type="paragraph" w:customStyle="1" w:styleId="Body">
    <w:name w:val="Body"/>
    <w:rsid w:val="00BD01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gmail-msonormal">
    <w:name w:val="gmail-msonormal"/>
    <w:basedOn w:val="Normale"/>
    <w:rsid w:val="00BD015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1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15C"/>
    <w:rPr>
      <w:rFonts w:ascii="Tahoma" w:eastAsia="Times New Roman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4F616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4F616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2090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909"/>
    <w:rPr>
      <w:rFonts w:ascii="Arial" w:eastAsia="Times New Roman" w:hAnsi="Arial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2090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909"/>
    <w:rPr>
      <w:rFonts w:ascii="Arial" w:eastAsia="Times New Roman" w:hAnsi="Arial" w:cs="Times New Roman"/>
      <w:lang w:val="en-US"/>
    </w:rPr>
  </w:style>
  <w:style w:type="character" w:customStyle="1" w:styleId="display-name11">
    <w:name w:val="display-name11"/>
    <w:rsid w:val="00F20909"/>
  </w:style>
  <w:style w:type="paragraph" w:styleId="Nessunaspaziatura">
    <w:name w:val="No Spacing"/>
    <w:uiPriority w:val="1"/>
    <w:qFormat/>
    <w:rsid w:val="00E51EED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A">
    <w:name w:val="Body A"/>
    <w:rsid w:val="00ED5E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Enfasicorsivo">
    <w:name w:val="Emphasis"/>
    <w:basedOn w:val="Carpredefinitoparagrafo"/>
    <w:uiPriority w:val="20"/>
    <w:qFormat/>
    <w:rsid w:val="004E2AA8"/>
    <w:rPr>
      <w:i/>
      <w:iCs/>
    </w:rPr>
  </w:style>
  <w:style w:type="paragraph" w:customStyle="1" w:styleId="BasicParagraph">
    <w:name w:val="[Basic Paragraph]"/>
    <w:basedOn w:val="Normale"/>
    <w:uiPriority w:val="99"/>
    <w:rsid w:val="00AF4F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B5277"/>
  </w:style>
  <w:style w:type="paragraph" w:styleId="Paragrafoelenco">
    <w:name w:val="List Paragraph"/>
    <w:basedOn w:val="Normale"/>
    <w:uiPriority w:val="34"/>
    <w:qFormat/>
    <w:rsid w:val="00A174C3"/>
    <w:pPr>
      <w:ind w:left="720"/>
    </w:pPr>
    <w:rPr>
      <w:rFonts w:ascii="Calibri" w:eastAsiaTheme="minorHAnsi" w:hAnsi="Calibri" w:cs="Calibri"/>
      <w:lang w:val="en-GB"/>
    </w:rPr>
  </w:style>
  <w:style w:type="paragraph" w:customStyle="1" w:styleId="Default">
    <w:name w:val="Default"/>
    <w:rsid w:val="00AF684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gmaildefault">
    <w:name w:val="gmail_default"/>
    <w:basedOn w:val="Carpredefinitoparagrafo"/>
    <w:rsid w:val="0008585E"/>
  </w:style>
  <w:style w:type="character" w:styleId="Rimandocommento">
    <w:name w:val="annotation reference"/>
    <w:basedOn w:val="Carpredefinitoparagrafo"/>
    <w:uiPriority w:val="99"/>
    <w:semiHidden/>
    <w:unhideWhenUsed/>
    <w:rsid w:val="00E70E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0E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0EE5"/>
    <w:rPr>
      <w:rFonts w:ascii="Arial" w:eastAsia="Times New Roman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0E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0EE5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3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34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3934EC"/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mfil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mailvox.it/nl/pv32et/qvwrh3/qucjn/uf/1/aHR0cDovL3d3dy5naWFtcGFnbGlhbG9jdXJjaW8uaXQ?_d=46A&amp;_c=8911f5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SZvDGb+3qAmsJQ7TmND1V9ncA==">AMUW2mXGb6Qm8WCqJe2qOIjxPzwypHXcJjb/6ngp7nfvzEag1nSBvA7y+0vU2vyXCymgBObDtK1f6dymW37Iwox/s28zb/g71m1tN8zRVCxIXk9fyOdSbFh33J8YKtjFyPsbGz0L/R9w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Elliott</dc:creator>
  <cp:lastModifiedBy>Maria Rosaria Giampaglia</cp:lastModifiedBy>
  <cp:revision>2</cp:revision>
  <dcterms:created xsi:type="dcterms:W3CDTF">2022-03-01T12:34:00Z</dcterms:created>
  <dcterms:modified xsi:type="dcterms:W3CDTF">2022-03-28T13:07:00Z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0x010100EF4608B21215C5498B97F3B787101270</vt:lpwstr>
  </property>
</Properties>
</file>